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A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distribute"/>
        <w:textAlignment w:val="auto"/>
        <w:rPr>
          <w:rFonts w:hint="default" w:ascii="Times New Roman" w:hAnsi="Times New Roman" w:cs="Times New Roman"/>
          <w:b w:val="0"/>
          <w:bCs/>
          <w:spacing w:val="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84"/>
          <w:szCs w:val="84"/>
        </w:rPr>
        <w:t>中共达州市委组织部</w:t>
      </w:r>
    </w:p>
    <w:p w14:paraId="23CE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8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20955</wp:posOffset>
                </wp:positionV>
                <wp:extent cx="6120130" cy="8232775"/>
                <wp:effectExtent l="0" t="31750" r="13970" b="412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232775"/>
                          <a:chOff x="4061" y="2957"/>
                          <a:chExt cx="9638" cy="1296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4061" y="2957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6"/>
                        <wps:cNvCnPr/>
                        <wps:spPr>
                          <a:xfrm>
                            <a:off x="4061" y="15922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65pt;margin-top:1.65pt;height:648.25pt;width:481.9pt;z-index:251659264;mso-width-relative:page;mso-height-relative:page;" coordorigin="4061,2957" coordsize="9638,12965" o:gfxdata="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lOakdoAAAAKAQAADwAAAAAAAAABACAAAAAiAAAAZHJzL2Rvd25yZXYueG1sUEsB&#10;AhQAFAAAAAgAh07iQHZ3HqSeAgAAMQcAAA4AAAAAAAAAAQAgAAAAKQEAAGRycy9lMm9Eb2MueG1s&#10;UEsFBgAAAAAGAAYAWQEAADkGAAAAAA==&#10;">
                <o:lock v:ext="edit" aspectratio="f"/>
                <v:line id="_x0000_s1026" o:spid="_x0000_s1026" o:spt="20" style="position:absolute;left:4061;top:2957;height:0;width:9638;" filled="f" stroked="t" coordsize="21600,21600" o:gfxdata="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xF+l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5pt" color="#FF0000" linestyle="thickThin" joinstyle="round"/>
                  <v:imagedata o:title=""/>
                  <o:lock v:ext="edit" aspectratio="f"/>
                </v:line>
                <v:line id="直接连接符 6" o:spid="_x0000_s1026" o:spt="20" style="position:absolute;left:4061;top:15922;height:0;width:9638;" filled="f" stroked="t" coordsize="21600,21600" o:gfxdata="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mj8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达市组函〔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号</w:t>
      </w:r>
    </w:p>
    <w:p w14:paraId="505A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B30B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</w:p>
    <w:p w14:paraId="15B7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中共达州市委组织部</w:t>
      </w:r>
    </w:p>
    <w:p w14:paraId="7FCBB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关于市政协五届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次会议第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018号提案</w:t>
      </w:r>
    </w:p>
    <w:p w14:paraId="250C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办理情况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val="en-US" w:eastAsia="zh-CN"/>
        </w:rPr>
        <w:t>A）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的函</w:t>
      </w:r>
    </w:p>
    <w:p w14:paraId="4CB66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</w:p>
    <w:p w14:paraId="77D4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乐芳均委员：</w:t>
      </w:r>
    </w:p>
    <w:p w14:paraId="696D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市政协五届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上提出的《关于做好工业人才高质量发展的建议》（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018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号提案）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收悉。现将办理情况函告如下：</w:t>
      </w:r>
    </w:p>
    <w:p w14:paraId="31E94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一、主要做法</w:t>
      </w:r>
    </w:p>
    <w:p w14:paraId="4B6F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创新方式优化程序</w:t>
      </w: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，千方百计招引人才。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一是常态开展赴外引才。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坚持以“达人英才计划”为统揽，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重点围绕“双招双引”组织实施，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组建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" w:eastAsia="zh-CN" w:bidi="ar-SA"/>
        </w:rPr>
        <w:t>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支引才小分队赴全国七大片区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余所高校引才，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开展线上推介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余场次、现场宣讲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余场次；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坚持招商与招才并举、引资与引智并重，与全市招商引资“比拼拉练”专场活动同步进行，今年上半年已赴厦门、上海、杭州等高校引才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二是全职引进优秀人才。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年全年计划开展集中引才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次，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面向全国引进一批经济社会发展急需的高层次人才来达工作。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经用人单位申报，市委组织部、市人力资源社会保障局汇总审核，上半年集中引才共计划引进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1139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人。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三是柔性引进领军人才。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围绕“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N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”现代产业集群，推出重大科技攻关领军型人才（团队）“招贤榜”，给予最高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亿元综合资助等优厚政策。实施“上市公司培育计划”，链接希达集团来达对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家具备上市条件的优质企业进行辅导培育。举办“院士（专家）达州行”等活动，与哈尔滨工业大学、中国人民大学等高校新签订合作协议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个。</w:t>
      </w:r>
    </w:p>
    <w:p w14:paraId="7CCD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二、全力做好财政保障，真金白银奖励人才。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一是加大财政投入力度。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市级财政安排引进人才安家补助及岗位激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励奖、深化人才体制机制改革工作经费、第二届“达州人才节”系列活动经费、“人才之春 达人有约”启动仪式经费等共计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4122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万元，较上年增长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二是不断优化引才政策。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保持人才政策的创新性、适用性和竞争力，我们学习借鉴周边城市经验做法，对全市人才政策进行了调研评估、系统梳理、优化整合，将于近期出台新的人才引进政策，持续优化人才发展环境，进一步激发人才创新活力，让优秀的人才能够享受更多的政策红利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三是正向激励各类人才。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出台“达人计划”，设置“凤凰达人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和“巴渠达人”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个子项目，首轮评选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名优秀人才和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个优秀团队，拨付资助资金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450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万元。常态化举办“技能达人擂台赛”，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余名优秀技能人才展开角逐，评选金、银、铜三类技能达人，给予最高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万元奖金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0C15EC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三、整合资源紧盯实效，多措并举培育人才。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一是支持人才交流合作。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支持达州职业技术学院创建省级“双高计划”高职院校，支持达州中医职院与市中西医结合医院融合发展，今年以来，达职院、中医职院邀请四川大学、电子科技大学等知名高校专家来达开展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余场学术交流和合作科研。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二是推进产教融合发展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。举办“职教进园区</w:t>
      </w:r>
      <w:r>
        <w:rPr>
          <w:rFonts w:hint="default" w:ascii="Times New Roman" w:hAnsi="Times New Roman" w:eastAsia="方正小标宋_GBK" w:cs="Times New Roman"/>
          <w:b/>
          <w:bCs/>
          <w:sz w:val="32"/>
          <w:szCs w:val="32"/>
          <w:u w:val="none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校企面对面”活动，摸清校企合作需求，优化调整专业结构，鼓励职校学生本地实习就业，与市内外知名企业共建实训基地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个，对接“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”现代产业集群与企业合作开设订单班、冠名班、定制班等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个。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三是全力推动校企合作。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统筹协调对接政策、资金、要素等，支持工业园区建设创业园区（孵化基地），帮助企业解决技术工人招引、产研基地建设等。引导瓮福化工、川环科技等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多家重点企业加强与清华大学、四川大学等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u w:val="none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余家科研院校在技术、人才、知识产权运用等方面进行深入合作，促进本地企业人才队伍水平不断提升。</w:t>
      </w:r>
    </w:p>
    <w:p w14:paraId="3F0F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  <w:t>四、持续优化发展环境，用心用情服务人才。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一是搭建发展平台。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积极推荐教育、卫生、产业等重点领域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名优秀人才申报“天府青城计划”、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名优秀人才申报“西部之光”访问学者。围绕全省乡村人才振兴五年行动安排，申报农、林、水等急需紧缺专业大学本科生定向培养计划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名，选派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名教育、卫生急需紧缺专业人才到省市级单位顶岗培养。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二是提升服务质量。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328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名高层次人才增发“达人英才卡”，提供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15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类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项精细化服务措施，解决子女入学需求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31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人次，保障市第一人民医院、四川文理学院新引进正高、博士入住市本级人才公寓，为高层次人才提供最高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80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万元住房公积金贷款优惠支持，加快推进市本级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600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套人才公寓建设，建成“达城青年驿站”。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三是丰富业余生活。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组织开展人才之春“五个一”系列活动，分类实施“我为青年办实事”“卫生专业技术人才赋能提质行动”等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kern w:val="2"/>
          <w:sz w:val="32"/>
          <w:szCs w:val="32"/>
          <w:u w:val="none"/>
          <w:lang w:val="en-US" w:eastAsia="zh-CN" w:bidi="ar-SA"/>
        </w:rPr>
        <w:t>12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项重点人才活动，举办“青春就业大讲堂”，开展“青恋计划·爱在达城”青年人才交友联谊活动，指导县（市、区）实施“我和春天有个约会”“一月一主题”人才联谊等，为人才群体全方位营造清新愉快的生活氛围。</w:t>
      </w:r>
    </w:p>
    <w:p w14:paraId="23A4A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二、下一步工作打算</w:t>
      </w:r>
    </w:p>
    <w:p w14:paraId="72770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下一步，将积极融入全省“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”人才发展雁阵格局，切实为“一区一枢纽一中心”建设提供坚强人才保障和智力支持。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一是加大招引力度。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常态开展季度引才、赴高校引才，构建“促进会+工作站+特聘专员”引才体系，全面延伸引才触角，依托“双百项目”牵引，柔性引进高精尖人才。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二是做优人才服务。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不断拓展“达人英才卡”服务事项范围，持续优化引进人才子女就学、医疗待遇、住房优惠、薪金待遇等保障制度，使引进人才在岗位上能安心、尽心和舒心。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三是打造平台载体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。制定人才创新平台支撑产业高质量发展工作方案，明确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spacing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年省级及以上重点人才创新平台建设任务清单，力争通过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年时间，实现“省级及以上平台破百、平台运行效能提升、产业支撑作用提升”目标。</w:t>
      </w:r>
    </w:p>
    <w:p w14:paraId="1D816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最后，再次感谢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达州人才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工作的大力支持！</w:t>
      </w:r>
    </w:p>
    <w:p w14:paraId="01023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7B3AD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168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1025" w:rightChars="488"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中共达州市委组织部</w:t>
      </w:r>
    </w:p>
    <w:p w14:paraId="3BD6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83" w:rightChars="611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 w14:paraId="7E39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（联系人：贺小莉    联系电话：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18780844110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</w:t>
      </w:r>
    </w:p>
    <w:p w14:paraId="27C92E12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300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17" w:leftChars="100" w:right="210" w:rightChars="100" w:hanging="807" w:hangingChars="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抄送：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w:t>市政府督查室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，市政协提案委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，市人社局，市经信局，市科技局，市</w:t>
      </w:r>
      <w:r>
        <w:rPr>
          <w:rFonts w:hint="eastAsia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财政局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701" w:right="1474" w:bottom="1134" w:left="1587" w:header="851" w:footer="124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27A5C">
    <w:pPr>
      <w:pStyle w:val="11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116FA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116FA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zczMTNmZDcxMjQ3MzUxNjNmN2JjM2RmNTIxMGQifQ=="/>
  </w:docVars>
  <w:rsids>
    <w:rsidRoot w:val="77FE5CAE"/>
    <w:rsid w:val="021C0A27"/>
    <w:rsid w:val="02F370CC"/>
    <w:rsid w:val="06874187"/>
    <w:rsid w:val="093A3411"/>
    <w:rsid w:val="0B197577"/>
    <w:rsid w:val="0C5F4C8B"/>
    <w:rsid w:val="0FF7DD6C"/>
    <w:rsid w:val="142F2A6F"/>
    <w:rsid w:val="14AA7B3B"/>
    <w:rsid w:val="15AB792F"/>
    <w:rsid w:val="17AF2EE2"/>
    <w:rsid w:val="18D96991"/>
    <w:rsid w:val="19BFE662"/>
    <w:rsid w:val="1C8F059B"/>
    <w:rsid w:val="1D1B62ED"/>
    <w:rsid w:val="1D766F93"/>
    <w:rsid w:val="1DFE9578"/>
    <w:rsid w:val="1ED43C6A"/>
    <w:rsid w:val="206678C1"/>
    <w:rsid w:val="2179692A"/>
    <w:rsid w:val="227D5FFA"/>
    <w:rsid w:val="23F8626D"/>
    <w:rsid w:val="24F92117"/>
    <w:rsid w:val="25D16D75"/>
    <w:rsid w:val="263E3967"/>
    <w:rsid w:val="29EA7673"/>
    <w:rsid w:val="2CC47634"/>
    <w:rsid w:val="30DE4038"/>
    <w:rsid w:val="31C648F5"/>
    <w:rsid w:val="3549165D"/>
    <w:rsid w:val="37DB9C8E"/>
    <w:rsid w:val="37DFA845"/>
    <w:rsid w:val="38612946"/>
    <w:rsid w:val="3A3E40AB"/>
    <w:rsid w:val="3D8D23FA"/>
    <w:rsid w:val="3E410AE4"/>
    <w:rsid w:val="3E720C9E"/>
    <w:rsid w:val="3EFF4A67"/>
    <w:rsid w:val="3F7769B2"/>
    <w:rsid w:val="44D23CF4"/>
    <w:rsid w:val="459D0765"/>
    <w:rsid w:val="4812529F"/>
    <w:rsid w:val="4D491731"/>
    <w:rsid w:val="4D945F05"/>
    <w:rsid w:val="4DA60964"/>
    <w:rsid w:val="4F77348F"/>
    <w:rsid w:val="4FEE6CF2"/>
    <w:rsid w:val="50616088"/>
    <w:rsid w:val="5114328D"/>
    <w:rsid w:val="51E67F9B"/>
    <w:rsid w:val="57296FB0"/>
    <w:rsid w:val="576235BA"/>
    <w:rsid w:val="57EB485E"/>
    <w:rsid w:val="5A750FED"/>
    <w:rsid w:val="5A772921"/>
    <w:rsid w:val="5AE91E90"/>
    <w:rsid w:val="5BBD6722"/>
    <w:rsid w:val="5D9C2D15"/>
    <w:rsid w:val="5E19794C"/>
    <w:rsid w:val="5E559DCF"/>
    <w:rsid w:val="5EE76BB6"/>
    <w:rsid w:val="5F1128A4"/>
    <w:rsid w:val="5F231186"/>
    <w:rsid w:val="5F2DF517"/>
    <w:rsid w:val="6334413C"/>
    <w:rsid w:val="64617B31"/>
    <w:rsid w:val="64B70AD1"/>
    <w:rsid w:val="65D12DAF"/>
    <w:rsid w:val="66387735"/>
    <w:rsid w:val="68617509"/>
    <w:rsid w:val="6EA798F3"/>
    <w:rsid w:val="6FFAF692"/>
    <w:rsid w:val="72AB5F51"/>
    <w:rsid w:val="75387844"/>
    <w:rsid w:val="75C4318A"/>
    <w:rsid w:val="75D530C2"/>
    <w:rsid w:val="766EA4ED"/>
    <w:rsid w:val="77FE5CAE"/>
    <w:rsid w:val="79DABDD5"/>
    <w:rsid w:val="79EC705A"/>
    <w:rsid w:val="7DDEB1FC"/>
    <w:rsid w:val="7DEF9823"/>
    <w:rsid w:val="7E13227F"/>
    <w:rsid w:val="7E1D3E05"/>
    <w:rsid w:val="7F701C0E"/>
    <w:rsid w:val="7F8709F8"/>
    <w:rsid w:val="7FEDFA3E"/>
    <w:rsid w:val="7FF7AD87"/>
    <w:rsid w:val="87EBDDFB"/>
    <w:rsid w:val="87FF9EAA"/>
    <w:rsid w:val="8EBF52C3"/>
    <w:rsid w:val="A5F77B3B"/>
    <w:rsid w:val="AFFE82E4"/>
    <w:rsid w:val="BD9DE9F7"/>
    <w:rsid w:val="BDFEB701"/>
    <w:rsid w:val="BFFF34A3"/>
    <w:rsid w:val="CDFDC6B4"/>
    <w:rsid w:val="CF9FCF27"/>
    <w:rsid w:val="EBD39F7B"/>
    <w:rsid w:val="EE7F07C6"/>
    <w:rsid w:val="F76723A4"/>
    <w:rsid w:val="F7CD047A"/>
    <w:rsid w:val="F7FCFBA5"/>
    <w:rsid w:val="FBAF5C19"/>
    <w:rsid w:val="FBF56C6A"/>
    <w:rsid w:val="FBFC5F08"/>
    <w:rsid w:val="FCFDA077"/>
    <w:rsid w:val="FD6FC10D"/>
    <w:rsid w:val="FE7FFB7E"/>
    <w:rsid w:val="FFA37940"/>
    <w:rsid w:val="FFAA73A2"/>
    <w:rsid w:val="FF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paragraph" w:styleId="5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lang w:bidi="ar-SA"/>
    </w:rPr>
  </w:style>
  <w:style w:type="paragraph" w:styleId="6">
    <w:name w:val="Normal Indent"/>
    <w:basedOn w:val="1"/>
    <w:next w:val="7"/>
    <w:qFormat/>
    <w:uiPriority w:val="99"/>
  </w:style>
  <w:style w:type="paragraph" w:styleId="7">
    <w:name w:val="index 5"/>
    <w:basedOn w:val="1"/>
    <w:next w:val="1"/>
    <w:semiHidden/>
    <w:qFormat/>
    <w:uiPriority w:val="99"/>
    <w:pPr>
      <w:ind w:left="1680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8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9">
    <w:name w:val="Salutation"/>
    <w:basedOn w:val="1"/>
    <w:next w:val="1"/>
    <w:unhideWhenUsed/>
    <w:qFormat/>
    <w:uiPriority w:val="99"/>
    <w:rPr>
      <w:rFonts w:ascii="Times New Roman" w:hAnsi="Times New Roman"/>
    </w:rPr>
  </w:style>
  <w:style w:type="paragraph" w:styleId="10">
    <w:name w:val="Body Text"/>
    <w:basedOn w:val="1"/>
    <w:next w:val="5"/>
    <w:qFormat/>
    <w:uiPriority w:val="0"/>
    <w:pPr>
      <w:spacing w:after="1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character" w:customStyle="1" w:styleId="16">
    <w:name w:val="NormalCharacter"/>
    <w:semiHidden/>
    <w:qFormat/>
    <w:uiPriority w:val="99"/>
  </w:style>
  <w:style w:type="paragraph" w:customStyle="1" w:styleId="17">
    <w:name w:val="BodyText1I"/>
    <w:basedOn w:val="18"/>
    <w:next w:val="1"/>
    <w:qFormat/>
    <w:uiPriority w:val="0"/>
    <w:pPr>
      <w:spacing w:line="360" w:lineRule="auto"/>
      <w:ind w:firstLine="100" w:firstLineChars="100"/>
    </w:pPr>
    <w:rPr>
      <w:rFonts w:ascii="黑体" w:hAnsi="黑体" w:cs="黑体"/>
      <w:b/>
      <w:bCs/>
      <w:sz w:val="32"/>
      <w:szCs w:val="32"/>
    </w:rPr>
  </w:style>
  <w:style w:type="paragraph" w:customStyle="1" w:styleId="18">
    <w:name w:val="BodyText"/>
    <w:basedOn w:val="1"/>
    <w:qFormat/>
    <w:uiPriority w:val="0"/>
    <w:pPr>
      <w:widowControl w:val="0"/>
      <w:suppressAutoHyphens/>
      <w:spacing w:after="140" w:line="276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2224</Characters>
  <Lines>0</Lines>
  <Paragraphs>0</Paragraphs>
  <TotalTime>14</TotalTime>
  <ScaleCrop>false</ScaleCrop>
  <LinksUpToDate>false</LinksUpToDate>
  <CharactersWithSpaces>2231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2022-11-28T03:25:00Z</dcterms:created>
  <dc:creator>user</dc:creator>
  <cp:lastModifiedBy>XXXX</cp:lastModifiedBy>
  <cp:lastPrinted>2024-08-27T02:05:00Z</cp:lastPrinted>
  <dcterms:modified xsi:type="dcterms:W3CDTF">2024-08-28T07:19:03Z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039FEC24749044BC83147BEDC8B6E813_13</vt:lpwstr>
  </property>
</Properties>
</file>